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0A2" w:rsidRDefault="00BA2371" w:rsidP="00CB20A2">
      <w:pPr>
        <w:tabs>
          <w:tab w:val="left" w:pos="3402"/>
          <w:tab w:val="left" w:pos="7938"/>
        </w:tabs>
        <w:jc w:val="right"/>
      </w:pPr>
      <w:r w:rsidRPr="00BE418E">
        <w:rPr>
          <w:b/>
          <w:noProof/>
          <w:u w:val="single"/>
        </w:rPr>
        <w:drawing>
          <wp:anchor distT="0" distB="0" distL="114300" distR="114300" simplePos="0" relativeHeight="251659264" behindDoc="1" locked="0" layoutInCell="0" allowOverlap="1" wp14:anchorId="190867C4" wp14:editId="72819B7F">
            <wp:simplePos x="0" y="0"/>
            <wp:positionH relativeFrom="column">
              <wp:posOffset>5388586</wp:posOffset>
            </wp:positionH>
            <wp:positionV relativeFrom="paragraph">
              <wp:posOffset>-22285</wp:posOffset>
            </wp:positionV>
            <wp:extent cx="681486" cy="681486"/>
            <wp:effectExtent l="0" t="0" r="4445" b="4445"/>
            <wp:wrapNone/>
            <wp:docPr id="2" name="Bilde 2" descr="http://intra.ifint.biz/traffic/brandlibrary.nsf/0/59160BFBC467AF77C1256AFE00534144/$FILE/logotyp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ifint.biz/traffic/brandlibrary.nsf/0/59160BFBC467AF77C1256AFE00534144/$FILE/logotyp_logo.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1486" cy="681486"/>
                    </a:xfrm>
                    <a:prstGeom prst="rect">
                      <a:avLst/>
                    </a:prstGeom>
                    <a:noFill/>
                  </pic:spPr>
                </pic:pic>
              </a:graphicData>
            </a:graphic>
            <wp14:sizeRelH relativeFrom="page">
              <wp14:pctWidth>0</wp14:pctWidth>
            </wp14:sizeRelH>
            <wp14:sizeRelV relativeFrom="page">
              <wp14:pctHeight>0</wp14:pctHeight>
            </wp14:sizeRelV>
          </wp:anchor>
        </w:drawing>
      </w:r>
    </w:p>
    <w:p w:rsidR="00CB20A2" w:rsidRDefault="00CB20A2" w:rsidP="00CB20A2">
      <w:pPr>
        <w:tabs>
          <w:tab w:val="left" w:pos="3402"/>
          <w:tab w:val="left" w:pos="7938"/>
        </w:tabs>
      </w:pPr>
    </w:p>
    <w:p w:rsidR="00E67B85" w:rsidRDefault="00E67B85" w:rsidP="00E67B85">
      <w:pPr>
        <w:tabs>
          <w:tab w:val="left" w:pos="3402"/>
          <w:tab w:val="left" w:pos="7938"/>
        </w:tabs>
      </w:pPr>
    </w:p>
    <w:p w:rsidR="00E67B85" w:rsidRDefault="00E67B85" w:rsidP="00CB20A2">
      <w:pPr>
        <w:jc w:val="right"/>
      </w:pPr>
    </w:p>
    <w:p w:rsidR="00E67B85" w:rsidRDefault="00E67B85" w:rsidP="00CB20A2">
      <w:pPr>
        <w:jc w:val="right"/>
      </w:pPr>
    </w:p>
    <w:p w:rsidR="00E67B85" w:rsidRDefault="00E67B85" w:rsidP="00CB20A2">
      <w:pPr>
        <w:jc w:val="right"/>
      </w:pPr>
    </w:p>
    <w:tbl>
      <w:tblPr>
        <w:tblW w:w="9994" w:type="dxa"/>
        <w:tblLayout w:type="fixed"/>
        <w:tblCellMar>
          <w:left w:w="71" w:type="dxa"/>
          <w:right w:w="71" w:type="dxa"/>
        </w:tblCellMar>
        <w:tblLook w:val="0000" w:firstRow="0" w:lastRow="0" w:firstColumn="0" w:lastColumn="0" w:noHBand="0" w:noVBand="0"/>
      </w:tblPr>
      <w:tblGrid>
        <w:gridCol w:w="6734"/>
        <w:gridCol w:w="568"/>
        <w:gridCol w:w="2692"/>
      </w:tblGrid>
      <w:tr w:rsidR="002723DB" w:rsidTr="00AB7966">
        <w:tc>
          <w:tcPr>
            <w:tcW w:w="6734" w:type="dxa"/>
            <w:tcBorders>
              <w:top w:val="nil"/>
              <w:left w:val="nil"/>
              <w:bottom w:val="nil"/>
              <w:right w:val="nil"/>
            </w:tcBorders>
          </w:tcPr>
          <w:p w:rsidR="002723DB" w:rsidRDefault="002723DB" w:rsidP="00CB20A2">
            <w:pPr>
              <w:overflowPunct/>
              <w:autoSpaceDE/>
              <w:autoSpaceDN/>
              <w:adjustRightInd/>
              <w:textAlignment w:val="auto"/>
            </w:pPr>
          </w:p>
        </w:tc>
        <w:tc>
          <w:tcPr>
            <w:tcW w:w="568" w:type="dxa"/>
            <w:tcBorders>
              <w:top w:val="nil"/>
              <w:left w:val="nil"/>
              <w:bottom w:val="nil"/>
              <w:right w:val="nil"/>
            </w:tcBorders>
          </w:tcPr>
          <w:p w:rsidR="002723DB" w:rsidRDefault="002723DB">
            <w:pPr>
              <w:jc w:val="right"/>
            </w:pPr>
          </w:p>
        </w:tc>
        <w:tc>
          <w:tcPr>
            <w:tcW w:w="2692" w:type="dxa"/>
            <w:tcBorders>
              <w:top w:val="nil"/>
              <w:left w:val="nil"/>
              <w:bottom w:val="nil"/>
              <w:right w:val="nil"/>
            </w:tcBorders>
          </w:tcPr>
          <w:p w:rsidR="002723DB" w:rsidRDefault="002723DB">
            <w:pPr>
              <w:rPr>
                <w:sz w:val="20"/>
              </w:rPr>
            </w:pPr>
          </w:p>
        </w:tc>
      </w:tr>
    </w:tbl>
    <w:p w:rsidR="00BC218B" w:rsidRDefault="00BC218B" w:rsidP="00E256DF"/>
    <w:p w:rsidR="00E67B85" w:rsidRPr="004E1178" w:rsidRDefault="00E67B85" w:rsidP="00E67B85">
      <w:pPr>
        <w:pStyle w:val="Heading1"/>
        <w:rPr>
          <w:rFonts w:ascii="Calibri" w:eastAsiaTheme="minorHAnsi" w:hAnsi="Calibri" w:cs="Calibri"/>
          <w:b w:val="0"/>
          <w:sz w:val="28"/>
          <w:szCs w:val="28"/>
        </w:rPr>
      </w:pPr>
      <w:r w:rsidRPr="004E1178">
        <w:rPr>
          <w:rFonts w:ascii="Calibri" w:eastAsiaTheme="minorHAnsi" w:hAnsi="Calibri" w:cs="Calibri"/>
          <w:sz w:val="28"/>
          <w:szCs w:val="28"/>
        </w:rPr>
        <w:t>Informasjon til eksterne distributører om Ifs rutiner for</w:t>
      </w:r>
      <w:r>
        <w:rPr>
          <w:rFonts w:ascii="Calibri" w:eastAsiaTheme="minorHAnsi" w:hAnsi="Calibri" w:cs="Calibri"/>
          <w:sz w:val="28"/>
          <w:szCs w:val="28"/>
        </w:rPr>
        <w:t xml:space="preserve"> produktgodkjenning, målgrupper og jevnlig overvåkning </w:t>
      </w:r>
      <w:r w:rsidRPr="004E1178">
        <w:rPr>
          <w:rFonts w:ascii="Calibri" w:eastAsiaTheme="minorHAnsi" w:hAnsi="Calibri" w:cs="Calibri"/>
          <w:sz w:val="28"/>
          <w:szCs w:val="28"/>
        </w:rPr>
        <w:t xml:space="preserve"> </w:t>
      </w:r>
    </w:p>
    <w:p w:rsidR="00E67B85" w:rsidRPr="004E1178" w:rsidRDefault="00E67B85" w:rsidP="00E67B85"/>
    <w:p w:rsidR="00E67B85" w:rsidRPr="004E1178" w:rsidRDefault="00E67B85" w:rsidP="00E67B85">
      <w:pPr>
        <w:rPr>
          <w:rFonts w:ascii="Calibri" w:hAnsi="Calibri" w:cs="Calibri"/>
          <w:b/>
          <w:sz w:val="20"/>
        </w:rPr>
      </w:pPr>
      <w:r w:rsidRPr="004E1178">
        <w:rPr>
          <w:rFonts w:ascii="Calibri" w:hAnsi="Calibri" w:cs="Calibri"/>
          <w:b/>
          <w:sz w:val="20"/>
        </w:rPr>
        <w:t>Ifs interne p</w:t>
      </w:r>
      <w:r>
        <w:rPr>
          <w:rFonts w:ascii="Calibri" w:hAnsi="Calibri" w:cs="Calibri"/>
          <w:b/>
          <w:sz w:val="20"/>
        </w:rPr>
        <w:t>rosess for produktgodkjenning</w:t>
      </w:r>
    </w:p>
    <w:p w:rsidR="00E67B85" w:rsidRPr="004E1178" w:rsidRDefault="00E67B85" w:rsidP="00E67B85">
      <w:pPr>
        <w:rPr>
          <w:rFonts w:ascii="Calibri" w:hAnsi="Calibri" w:cs="Calibri"/>
          <w:sz w:val="20"/>
        </w:rPr>
      </w:pPr>
      <w:r w:rsidRPr="004E1178">
        <w:rPr>
          <w:rFonts w:ascii="Calibri" w:hAnsi="Calibri" w:cs="Calibri"/>
          <w:sz w:val="20"/>
        </w:rPr>
        <w:t xml:space="preserve">Som forsikringsgiver og produsent av forsikringsprodukter, har If etablert interne prosesser og retningslinjer for produktgodkjenning før produktene blir tilgjengelige i markedet. Slik produktgodkjenning skal gjennomføres for alle nye produkter og for eksisterende produkter hvor det foretas vesentlige endringer. Ifs interne produktgodkjenningsprosess omfatter blant annet fastsetting av målgruppen for det enkelte forsikringsprodukt, en vurdering av eventuell risiko knyttet til denne målgruppen og en salgsstrategi som er tilpasset det enkelte forsikringsproduktet. </w:t>
      </w:r>
    </w:p>
    <w:p w:rsidR="00E67B85" w:rsidRPr="004E1178" w:rsidRDefault="00E67B85" w:rsidP="00E67B85">
      <w:pPr>
        <w:rPr>
          <w:rFonts w:ascii="Calibri" w:hAnsi="Calibri" w:cs="Calibri"/>
          <w:sz w:val="20"/>
        </w:rPr>
      </w:pPr>
      <w:r w:rsidRPr="004E1178">
        <w:rPr>
          <w:rFonts w:ascii="Calibri" w:hAnsi="Calibri" w:cs="Calibri"/>
          <w:sz w:val="20"/>
        </w:rPr>
        <w:t>If tilbyr sine eksterne distributører klar og fullstendig informasjon om forsikringsproduktet, målgruppen og den foreslåtte distribusjonsstrategien. Dette omfatter blant annet informasjon om produktets viktigeste egenskaper (</w:t>
      </w:r>
      <w:proofErr w:type="spellStart"/>
      <w:r w:rsidRPr="004E1178">
        <w:rPr>
          <w:rFonts w:ascii="Calibri" w:hAnsi="Calibri" w:cs="Calibri"/>
          <w:sz w:val="20"/>
        </w:rPr>
        <w:t>f.eks</w:t>
      </w:r>
      <w:proofErr w:type="spellEnd"/>
      <w:r w:rsidRPr="004E1178">
        <w:rPr>
          <w:rFonts w:ascii="Calibri" w:hAnsi="Calibri" w:cs="Calibri"/>
          <w:sz w:val="20"/>
        </w:rPr>
        <w:t xml:space="preserve"> forsikringsavtalens løpetid, omfang og begrensninger), produktets risiko (for eksempel opsjoner og tillegg), og kostnader (for eksempel premier, fradrag), samt om eventuelle omstendigheter som kan føre til interessekonflikt for kunden.</w:t>
      </w:r>
    </w:p>
    <w:p w:rsidR="007053B7" w:rsidRDefault="007053B7" w:rsidP="00E67B85">
      <w:pPr>
        <w:rPr>
          <w:rFonts w:ascii="Calibri" w:hAnsi="Calibri" w:cs="Calibri"/>
          <w:b/>
          <w:sz w:val="20"/>
        </w:rPr>
      </w:pPr>
    </w:p>
    <w:p w:rsidR="00E67B85" w:rsidRPr="004E1178" w:rsidRDefault="00E67B85" w:rsidP="00E67B85">
      <w:pPr>
        <w:rPr>
          <w:rFonts w:ascii="Calibri" w:hAnsi="Calibri" w:cs="Calibri"/>
          <w:b/>
          <w:sz w:val="20"/>
        </w:rPr>
      </w:pPr>
      <w:r w:rsidRPr="004E1178">
        <w:rPr>
          <w:rFonts w:ascii="Calibri" w:hAnsi="Calibri" w:cs="Calibri"/>
          <w:b/>
          <w:sz w:val="20"/>
        </w:rPr>
        <w:t>Forsikringsprodukt og målgruppe</w:t>
      </w:r>
    </w:p>
    <w:p w:rsidR="00E67B85" w:rsidRPr="004E1178" w:rsidRDefault="00E67B85" w:rsidP="00E67B85">
      <w:pPr>
        <w:rPr>
          <w:rFonts w:ascii="Calibri" w:hAnsi="Calibri" w:cs="Calibri"/>
          <w:sz w:val="20"/>
        </w:rPr>
      </w:pPr>
      <w:r w:rsidRPr="004E1178">
        <w:rPr>
          <w:rFonts w:ascii="Calibri" w:hAnsi="Calibri" w:cs="Calibri"/>
          <w:sz w:val="20"/>
        </w:rPr>
        <w:t>For hver enkelt forsikringsprodukt blir det fastsatt en målgruppe, se</w:t>
      </w:r>
      <w:r w:rsidR="007053B7">
        <w:rPr>
          <w:rFonts w:ascii="Calibri" w:hAnsi="Calibri" w:cs="Calibri"/>
          <w:sz w:val="20"/>
        </w:rPr>
        <w:t xml:space="preserve"> vedlegg med informasjon.</w:t>
      </w:r>
    </w:p>
    <w:p w:rsidR="007053B7" w:rsidRDefault="007053B7" w:rsidP="00E67B85">
      <w:pPr>
        <w:rPr>
          <w:rFonts w:ascii="Calibri" w:hAnsi="Calibri" w:cs="Calibri"/>
          <w:b/>
          <w:sz w:val="20"/>
        </w:rPr>
      </w:pPr>
    </w:p>
    <w:p w:rsidR="00E67B85" w:rsidRPr="004E1178" w:rsidRDefault="00E67B85" w:rsidP="00E67B85">
      <w:pPr>
        <w:rPr>
          <w:rFonts w:ascii="Calibri" w:hAnsi="Calibri" w:cs="Calibri"/>
          <w:b/>
          <w:sz w:val="20"/>
        </w:rPr>
      </w:pPr>
      <w:r w:rsidRPr="004E1178">
        <w:rPr>
          <w:rFonts w:ascii="Calibri" w:hAnsi="Calibri" w:cs="Calibri"/>
          <w:b/>
          <w:sz w:val="20"/>
        </w:rPr>
        <w:t>Overvåkning og vurdering av forsikringsprodukt</w:t>
      </w:r>
    </w:p>
    <w:p w:rsidR="00E67B85" w:rsidRPr="004E1178" w:rsidRDefault="00E67B85" w:rsidP="00E67B85">
      <w:pPr>
        <w:rPr>
          <w:rFonts w:ascii="Calibri" w:hAnsi="Calibri" w:cs="Calibri"/>
          <w:sz w:val="20"/>
        </w:rPr>
      </w:pPr>
      <w:r w:rsidRPr="004E1178">
        <w:rPr>
          <w:rFonts w:ascii="Calibri" w:hAnsi="Calibri" w:cs="Calibri"/>
          <w:sz w:val="20"/>
        </w:rPr>
        <w:t>If har jevnlig kontroll av sine forsikringsproduktet hvor rekkevidden, forsikringsperioden og produktets kompleksitet vurderes, samt de ulike distribusjonskanaler og andre relevante eksterne faktorer. Dette kan for eksempel være endringer i lov, teknisk utvikling eller endrede markedsforhold. Hensikten med vurderingen er å oppdage hendelser som kan ha en betydelig innvirkning på produktets hovedtrekk, risikodekning og garantier. If vurderer hvorvidt forsikringsproduktet fortsatt er i overensstemmelse med behovene til målgruppen og om produktet distribueres til kunder utenfor målgruppen.</w:t>
      </w:r>
    </w:p>
    <w:p w:rsidR="00E67B85" w:rsidRPr="004E1178" w:rsidRDefault="00E67B85" w:rsidP="00E67B85">
      <w:pPr>
        <w:rPr>
          <w:rFonts w:ascii="Calibri" w:hAnsi="Calibri" w:cs="Calibri"/>
          <w:sz w:val="20"/>
        </w:rPr>
      </w:pPr>
      <w:r w:rsidRPr="004E1178">
        <w:rPr>
          <w:rFonts w:ascii="Calibri" w:hAnsi="Calibri" w:cs="Calibri"/>
          <w:sz w:val="20"/>
        </w:rPr>
        <w:t xml:space="preserve">Som en del av denne overvåkingen og vurderingen, skal resultatene avstemmes minst en gang årlig med eksterne distributører. Dette kan skje gjennom for eksempel informasjonsmøter, der nyheter og oppdateringer av forsikringsprodukter presenteres fra If. Slik gjennomgangen og eventuelle behov for tilpasninger i forsikringsprodukter eller målgrupper kan også behandles på styremøter med eksterne distributør.  </w:t>
      </w:r>
    </w:p>
    <w:p w:rsidR="007053B7" w:rsidRDefault="007053B7" w:rsidP="00E67B85">
      <w:pPr>
        <w:rPr>
          <w:rFonts w:ascii="Calibri" w:hAnsi="Calibri" w:cs="Calibri"/>
          <w:b/>
          <w:bCs/>
          <w:sz w:val="20"/>
        </w:rPr>
      </w:pPr>
    </w:p>
    <w:p w:rsidR="00E67B85" w:rsidRPr="004E1178" w:rsidRDefault="00E67B85" w:rsidP="00E67B85">
      <w:pPr>
        <w:rPr>
          <w:rFonts w:ascii="Calibri" w:hAnsi="Calibri" w:cs="Calibri"/>
          <w:b/>
          <w:bCs/>
          <w:sz w:val="20"/>
        </w:rPr>
      </w:pPr>
      <w:r w:rsidRPr="004E1178">
        <w:rPr>
          <w:rFonts w:ascii="Calibri" w:hAnsi="Calibri" w:cs="Calibri"/>
          <w:b/>
          <w:bCs/>
          <w:sz w:val="20"/>
        </w:rPr>
        <w:t>Informasjon fra ekstern distributør til If</w:t>
      </w:r>
    </w:p>
    <w:p w:rsidR="00E67B85" w:rsidRPr="004E1178" w:rsidRDefault="00E67B85" w:rsidP="00E67B85">
      <w:pPr>
        <w:rPr>
          <w:rFonts w:ascii="Calibri" w:hAnsi="Calibri" w:cs="Calibri"/>
          <w:sz w:val="20"/>
        </w:rPr>
      </w:pPr>
      <w:r w:rsidRPr="004E1178">
        <w:rPr>
          <w:rFonts w:ascii="Calibri" w:hAnsi="Calibri" w:cs="Calibri"/>
          <w:sz w:val="20"/>
        </w:rPr>
        <w:t xml:space="preserve">Dersom en ekstern distributør blir kjent med at et forsikringsprodukt ikke er i samsvar med målgruppens interesser, målsettinger og egenskaper og/eller avdekker andre produktrelaterte omstendigheter som kan ha skadelig innvirkning på kundene, skal distributøren umiddelbart informere ansvarlig kontaktperson i If. Den eksterne distributøren skal, om nødvendig, endre distribusjonsstrategi for det aktuelle forsikringsprodukt. </w:t>
      </w:r>
    </w:p>
    <w:p w:rsidR="00E67B85" w:rsidRPr="004E1178" w:rsidRDefault="00E67B85" w:rsidP="00E67B85">
      <w:pPr>
        <w:rPr>
          <w:rFonts w:ascii="Calibri" w:hAnsi="Calibri" w:cs="Calibri"/>
          <w:sz w:val="20"/>
        </w:rPr>
      </w:pPr>
    </w:p>
    <w:p w:rsidR="00E67B85" w:rsidRPr="004E1178" w:rsidRDefault="00E67B85" w:rsidP="00E67B85">
      <w:pPr>
        <w:rPr>
          <w:rFonts w:ascii="Calibri" w:hAnsi="Calibri" w:cs="Calibri"/>
          <w:sz w:val="20"/>
        </w:rPr>
      </w:pPr>
      <w:r w:rsidRPr="004E1178">
        <w:rPr>
          <w:rFonts w:ascii="Calibri" w:hAnsi="Calibri" w:cs="Calibri"/>
          <w:sz w:val="20"/>
        </w:rPr>
        <w:t xml:space="preserve">Eksempler på forhold If må informeres om kan være; behov for å effektivisere eller modifisere salgsprosessen, oppdatere eller endre forsikringsproduktet eller målgruppen (kunder blir f.eks. stilt uriktige spørsmål i salgsprosessen, målgruppen fremstår som for stor eller for liten slik at forsikringsproduktet ikke er tilstrekkelig tilpasset denne). </w:t>
      </w:r>
    </w:p>
    <w:p w:rsidR="00E67B85" w:rsidRPr="004E1178" w:rsidRDefault="00E67B85" w:rsidP="00E67B85">
      <w:pPr>
        <w:rPr>
          <w:rFonts w:ascii="Calibri" w:hAnsi="Calibri" w:cs="Calibri"/>
          <w:sz w:val="20"/>
        </w:rPr>
      </w:pPr>
    </w:p>
    <w:p w:rsidR="00E67B85" w:rsidRPr="004E1178" w:rsidRDefault="00E67B85" w:rsidP="00E67B85">
      <w:pPr>
        <w:rPr>
          <w:rFonts w:ascii="Calibri" w:hAnsi="Calibri" w:cs="Calibri"/>
          <w:b/>
          <w:bCs/>
          <w:sz w:val="20"/>
        </w:rPr>
      </w:pPr>
      <w:r w:rsidRPr="004E1178">
        <w:rPr>
          <w:rFonts w:ascii="Calibri" w:hAnsi="Calibri" w:cs="Calibri"/>
          <w:b/>
          <w:bCs/>
          <w:sz w:val="20"/>
        </w:rPr>
        <w:t xml:space="preserve">Disse retningslinjer gjelder for alle eksterne distributører, uavhengig av om distributøren handler på vegne av en forsikringstaker eller opptrer som agent for If. </w:t>
      </w:r>
    </w:p>
    <w:p w:rsidR="00E67B85" w:rsidRPr="004E1178" w:rsidRDefault="00E67B85" w:rsidP="00E67B85">
      <w:pPr>
        <w:rPr>
          <w:rFonts w:ascii="Calibri" w:hAnsi="Calibri" w:cs="Calibri"/>
          <w:sz w:val="20"/>
        </w:rPr>
      </w:pPr>
      <w:bookmarkStart w:id="0" w:name="_GoBack"/>
      <w:bookmarkEnd w:id="0"/>
    </w:p>
    <w:sectPr w:rsidR="00E67B85" w:rsidRPr="004E1178" w:rsidSect="00B71020">
      <w:footerReference w:type="first" r:id="rId8"/>
      <w:pgSz w:w="11907" w:h="16840" w:code="9"/>
      <w:pgMar w:top="850" w:right="1701" w:bottom="1276" w:left="1417" w:header="567" w:footer="45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BE8" w:rsidRDefault="00683BE8">
      <w:r>
        <w:separator/>
      </w:r>
    </w:p>
  </w:endnote>
  <w:endnote w:type="continuationSeparator" w:id="0">
    <w:p w:rsidR="00683BE8" w:rsidRDefault="0068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12"/>
      <w:gridCol w:w="1541"/>
      <w:gridCol w:w="3926"/>
    </w:tblGrid>
    <w:tr w:rsidR="00CB20A2" w:rsidTr="00705BB4">
      <w:tc>
        <w:tcPr>
          <w:tcW w:w="3369" w:type="dxa"/>
        </w:tcPr>
        <w:p w:rsidR="00CB20A2" w:rsidRPr="00705BB4" w:rsidRDefault="00CB20A2" w:rsidP="00CB20A2">
          <w:pPr>
            <w:rPr>
              <w:rFonts w:ascii="Arial" w:hAnsi="Arial" w:cs="Arial"/>
              <w:sz w:val="16"/>
              <w:szCs w:val="16"/>
            </w:rPr>
          </w:pPr>
          <w:r w:rsidRPr="00705BB4">
            <w:rPr>
              <w:rFonts w:ascii="Arial" w:hAnsi="Arial" w:cs="Arial"/>
              <w:sz w:val="16"/>
              <w:szCs w:val="16"/>
            </w:rPr>
            <w:t>If</w:t>
          </w:r>
          <w:r w:rsidR="0028520A">
            <w:rPr>
              <w:rFonts w:ascii="Arial" w:hAnsi="Arial" w:cs="Arial"/>
              <w:sz w:val="16"/>
              <w:szCs w:val="16"/>
            </w:rPr>
            <w:t xml:space="preserve"> Skadeforsikring NUF</w:t>
          </w:r>
        </w:p>
        <w:p w:rsidR="00CB20A2" w:rsidRPr="00705BB4" w:rsidRDefault="0028520A" w:rsidP="00CB20A2">
          <w:pPr>
            <w:rPr>
              <w:rFonts w:ascii="Arial" w:hAnsi="Arial" w:cs="Arial"/>
              <w:sz w:val="16"/>
              <w:szCs w:val="16"/>
            </w:rPr>
          </w:pPr>
          <w:r>
            <w:rPr>
              <w:rFonts w:ascii="Arial" w:hAnsi="Arial" w:cs="Arial"/>
              <w:sz w:val="16"/>
              <w:szCs w:val="16"/>
            </w:rPr>
            <w:t>Postadresse: P.</w:t>
          </w:r>
          <w:r w:rsidR="00CB20A2" w:rsidRPr="00705BB4">
            <w:rPr>
              <w:rFonts w:ascii="Arial" w:hAnsi="Arial" w:cs="Arial"/>
              <w:sz w:val="16"/>
              <w:szCs w:val="16"/>
            </w:rPr>
            <w:t>b</w:t>
          </w:r>
          <w:r>
            <w:rPr>
              <w:rFonts w:ascii="Arial" w:hAnsi="Arial" w:cs="Arial"/>
              <w:sz w:val="16"/>
              <w:szCs w:val="16"/>
            </w:rPr>
            <w:t>.</w:t>
          </w:r>
          <w:r w:rsidR="00CB20A2" w:rsidRPr="00705BB4">
            <w:rPr>
              <w:rFonts w:ascii="Arial" w:hAnsi="Arial" w:cs="Arial"/>
              <w:sz w:val="16"/>
              <w:szCs w:val="16"/>
            </w:rPr>
            <w:t xml:space="preserve"> 240, 1326 Lysaker</w:t>
          </w:r>
        </w:p>
        <w:p w:rsidR="00CB20A2" w:rsidRPr="00705BB4" w:rsidRDefault="00CB20A2" w:rsidP="00CB20A2">
          <w:pPr>
            <w:rPr>
              <w:rFonts w:ascii="Arial" w:hAnsi="Arial" w:cs="Arial"/>
              <w:sz w:val="16"/>
              <w:szCs w:val="16"/>
            </w:rPr>
          </w:pPr>
          <w:r w:rsidRPr="00705BB4">
            <w:rPr>
              <w:rFonts w:ascii="Arial" w:hAnsi="Arial" w:cs="Arial"/>
              <w:sz w:val="16"/>
              <w:szCs w:val="16"/>
            </w:rPr>
            <w:t>Besøksadresse: Drammensvn. 264, Oslo</w:t>
          </w:r>
        </w:p>
        <w:p w:rsidR="00CB20A2" w:rsidRPr="00705BB4" w:rsidRDefault="00CB20A2">
          <w:pPr>
            <w:rPr>
              <w:rFonts w:ascii="Arial" w:hAnsi="Arial" w:cs="Arial"/>
              <w:sz w:val="16"/>
              <w:szCs w:val="16"/>
            </w:rPr>
          </w:pPr>
        </w:p>
      </w:tc>
      <w:tc>
        <w:tcPr>
          <w:tcW w:w="1559" w:type="dxa"/>
        </w:tcPr>
        <w:p w:rsidR="00CB20A2" w:rsidRPr="00705BB4" w:rsidRDefault="00CB20A2" w:rsidP="00CB20A2">
          <w:pPr>
            <w:rPr>
              <w:rFonts w:ascii="Arial" w:hAnsi="Arial" w:cs="Arial"/>
              <w:sz w:val="16"/>
              <w:szCs w:val="16"/>
            </w:rPr>
          </w:pPr>
          <w:r w:rsidRPr="00705BB4">
            <w:rPr>
              <w:rFonts w:ascii="Arial" w:hAnsi="Arial" w:cs="Arial"/>
              <w:sz w:val="16"/>
              <w:szCs w:val="16"/>
            </w:rPr>
            <w:t>Telefon: 02400</w:t>
          </w:r>
        </w:p>
        <w:p w:rsidR="00CB20A2" w:rsidRPr="00705BB4" w:rsidRDefault="00CB20A2" w:rsidP="00CB20A2">
          <w:pPr>
            <w:rPr>
              <w:rFonts w:ascii="Arial" w:hAnsi="Arial" w:cs="Arial"/>
              <w:sz w:val="16"/>
              <w:szCs w:val="16"/>
            </w:rPr>
          </w:pPr>
          <w:r w:rsidRPr="00705BB4">
            <w:rPr>
              <w:rFonts w:ascii="Arial" w:hAnsi="Arial" w:cs="Arial"/>
              <w:sz w:val="16"/>
              <w:szCs w:val="16"/>
            </w:rPr>
            <w:t>www.if.no</w:t>
          </w:r>
        </w:p>
      </w:tc>
      <w:tc>
        <w:tcPr>
          <w:tcW w:w="4001" w:type="dxa"/>
        </w:tcPr>
        <w:p w:rsidR="00CB20A2" w:rsidRPr="00705BB4" w:rsidRDefault="00CB20A2" w:rsidP="00CB20A2">
          <w:pPr>
            <w:rPr>
              <w:rFonts w:ascii="Arial" w:hAnsi="Arial" w:cs="Arial"/>
              <w:sz w:val="16"/>
              <w:szCs w:val="16"/>
              <w:lang w:val="da-DK"/>
            </w:rPr>
          </w:pPr>
          <w:r w:rsidRPr="00705BB4">
            <w:rPr>
              <w:rFonts w:ascii="Arial" w:hAnsi="Arial" w:cs="Arial"/>
              <w:sz w:val="16"/>
              <w:szCs w:val="16"/>
              <w:lang w:val="da-DK"/>
            </w:rPr>
            <w:t>F. reg.org.nr: 981 290 666</w:t>
          </w:r>
        </w:p>
        <w:p w:rsidR="00CB20A2" w:rsidRPr="00BA2371" w:rsidRDefault="00CB20A2" w:rsidP="00CB20A2">
          <w:pPr>
            <w:rPr>
              <w:rFonts w:ascii="Arial" w:hAnsi="Arial" w:cs="Arial"/>
              <w:sz w:val="16"/>
              <w:szCs w:val="16"/>
            </w:rPr>
          </w:pPr>
          <w:r w:rsidRPr="00705BB4">
            <w:rPr>
              <w:rFonts w:ascii="Arial" w:hAnsi="Arial" w:cs="Arial"/>
              <w:sz w:val="16"/>
              <w:szCs w:val="16"/>
              <w:lang w:val="sv-SE"/>
            </w:rPr>
            <w:t>If Skadeförsäkring AB (publ)</w:t>
          </w:r>
          <w:r w:rsidR="00705BB4">
            <w:rPr>
              <w:rFonts w:ascii="Arial" w:hAnsi="Arial" w:cs="Arial"/>
              <w:sz w:val="16"/>
              <w:szCs w:val="16"/>
              <w:lang w:val="sv-SE"/>
            </w:rPr>
            <w:t xml:space="preserve">. </w:t>
          </w:r>
          <w:r w:rsidRPr="00BA2371">
            <w:rPr>
              <w:rFonts w:ascii="Arial" w:hAnsi="Arial" w:cs="Arial"/>
              <w:sz w:val="16"/>
              <w:szCs w:val="16"/>
            </w:rPr>
            <w:t>Fi.org.nr: 516401-8102</w:t>
          </w:r>
        </w:p>
        <w:p w:rsidR="00CB20A2" w:rsidRPr="00705BB4" w:rsidRDefault="00CB20A2" w:rsidP="00CB20A2">
          <w:pPr>
            <w:rPr>
              <w:rFonts w:ascii="Arial" w:hAnsi="Arial" w:cs="Arial"/>
              <w:sz w:val="16"/>
              <w:szCs w:val="16"/>
            </w:rPr>
          </w:pPr>
          <w:r w:rsidRPr="00705BB4">
            <w:rPr>
              <w:rFonts w:ascii="Arial" w:hAnsi="Arial" w:cs="Arial"/>
              <w:sz w:val="16"/>
              <w:szCs w:val="16"/>
            </w:rPr>
            <w:t>Hovedkontor: 106 80 Stockholm</w:t>
          </w:r>
        </w:p>
      </w:tc>
    </w:tr>
  </w:tbl>
  <w:p w:rsidR="00CB20A2" w:rsidRDefault="00CB20A2"/>
  <w:p w:rsidR="002723DB" w:rsidRDefault="00272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BE8" w:rsidRDefault="00683BE8">
      <w:r>
        <w:separator/>
      </w:r>
    </w:p>
  </w:footnote>
  <w:footnote w:type="continuationSeparator" w:id="0">
    <w:p w:rsidR="00683BE8" w:rsidRDefault="00683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1EA"/>
    <w:multiLevelType w:val="hybridMultilevel"/>
    <w:tmpl w:val="EFA06D5A"/>
    <w:lvl w:ilvl="0" w:tplc="04140001">
      <w:start w:val="1"/>
      <w:numFmt w:val="bullet"/>
      <w:lvlText w:val=""/>
      <w:lvlJc w:val="left"/>
      <w:pPr>
        <w:ind w:left="36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 w15:restartNumberingAfterBreak="0">
    <w:nsid w:val="20CF6D09"/>
    <w:multiLevelType w:val="hybridMultilevel"/>
    <w:tmpl w:val="6830705C"/>
    <w:lvl w:ilvl="0" w:tplc="DA882E2C">
      <w:start w:val="1"/>
      <w:numFmt w:val="bullet"/>
      <w:lvlText w:val="–"/>
      <w:lvlJc w:val="left"/>
      <w:pPr>
        <w:tabs>
          <w:tab w:val="num" w:pos="720"/>
        </w:tabs>
        <w:ind w:left="720" w:hanging="360"/>
      </w:pPr>
      <w:rPr>
        <w:rFonts w:ascii="Arial" w:hAnsi="Arial" w:cs="Times New Roman" w:hint="default"/>
      </w:rPr>
    </w:lvl>
    <w:lvl w:ilvl="1" w:tplc="B394BEE0">
      <w:start w:val="1"/>
      <w:numFmt w:val="bullet"/>
      <w:lvlText w:val="–"/>
      <w:lvlJc w:val="left"/>
      <w:pPr>
        <w:tabs>
          <w:tab w:val="num" w:pos="1440"/>
        </w:tabs>
        <w:ind w:left="1440" w:hanging="360"/>
      </w:pPr>
      <w:rPr>
        <w:rFonts w:ascii="Arial" w:hAnsi="Arial" w:cs="Times New Roman" w:hint="default"/>
      </w:rPr>
    </w:lvl>
    <w:lvl w:ilvl="2" w:tplc="125481AE">
      <w:start w:val="1"/>
      <w:numFmt w:val="decimal"/>
      <w:lvlText w:val="%3."/>
      <w:lvlJc w:val="left"/>
      <w:pPr>
        <w:tabs>
          <w:tab w:val="num" w:pos="2160"/>
        </w:tabs>
        <w:ind w:left="2160" w:hanging="360"/>
      </w:pPr>
    </w:lvl>
    <w:lvl w:ilvl="3" w:tplc="5BD09E8C">
      <w:start w:val="1"/>
      <w:numFmt w:val="decimal"/>
      <w:lvlText w:val="%4."/>
      <w:lvlJc w:val="left"/>
      <w:pPr>
        <w:tabs>
          <w:tab w:val="num" w:pos="2880"/>
        </w:tabs>
        <w:ind w:left="2880" w:hanging="360"/>
      </w:pPr>
    </w:lvl>
    <w:lvl w:ilvl="4" w:tplc="E0F6FDC0">
      <w:start w:val="1"/>
      <w:numFmt w:val="decimal"/>
      <w:lvlText w:val="%5."/>
      <w:lvlJc w:val="left"/>
      <w:pPr>
        <w:tabs>
          <w:tab w:val="num" w:pos="3600"/>
        </w:tabs>
        <w:ind w:left="3600" w:hanging="360"/>
      </w:pPr>
    </w:lvl>
    <w:lvl w:ilvl="5" w:tplc="6178C094">
      <w:start w:val="1"/>
      <w:numFmt w:val="decimal"/>
      <w:lvlText w:val="%6."/>
      <w:lvlJc w:val="left"/>
      <w:pPr>
        <w:tabs>
          <w:tab w:val="num" w:pos="4320"/>
        </w:tabs>
        <w:ind w:left="4320" w:hanging="360"/>
      </w:pPr>
    </w:lvl>
    <w:lvl w:ilvl="6" w:tplc="6A6E76B2">
      <w:start w:val="1"/>
      <w:numFmt w:val="decimal"/>
      <w:lvlText w:val="%7."/>
      <w:lvlJc w:val="left"/>
      <w:pPr>
        <w:tabs>
          <w:tab w:val="num" w:pos="5040"/>
        </w:tabs>
        <w:ind w:left="5040" w:hanging="360"/>
      </w:pPr>
    </w:lvl>
    <w:lvl w:ilvl="7" w:tplc="EAE4CE6A">
      <w:start w:val="1"/>
      <w:numFmt w:val="decimal"/>
      <w:lvlText w:val="%8."/>
      <w:lvlJc w:val="left"/>
      <w:pPr>
        <w:tabs>
          <w:tab w:val="num" w:pos="5760"/>
        </w:tabs>
        <w:ind w:left="5760" w:hanging="360"/>
      </w:pPr>
    </w:lvl>
    <w:lvl w:ilvl="8" w:tplc="3B9090C0">
      <w:start w:val="1"/>
      <w:numFmt w:val="decimal"/>
      <w:lvlText w:val="%9."/>
      <w:lvlJc w:val="left"/>
      <w:pPr>
        <w:tabs>
          <w:tab w:val="num" w:pos="6480"/>
        </w:tabs>
        <w:ind w:left="6480" w:hanging="36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c944598a-60af-403d-b30e-8738f544d073"/>
  </w:docVars>
  <w:rsids>
    <w:rsidRoot w:val="00AB7966"/>
    <w:rsid w:val="000115B5"/>
    <w:rsid w:val="000C0FCA"/>
    <w:rsid w:val="001050A9"/>
    <w:rsid w:val="001932CB"/>
    <w:rsid w:val="001A418A"/>
    <w:rsid w:val="001A4DD4"/>
    <w:rsid w:val="001C786A"/>
    <w:rsid w:val="001D7B23"/>
    <w:rsid w:val="001E710E"/>
    <w:rsid w:val="0021261F"/>
    <w:rsid w:val="002360C5"/>
    <w:rsid w:val="002723DB"/>
    <w:rsid w:val="00277417"/>
    <w:rsid w:val="0028520A"/>
    <w:rsid w:val="002B4A92"/>
    <w:rsid w:val="002E3194"/>
    <w:rsid w:val="00324192"/>
    <w:rsid w:val="00324549"/>
    <w:rsid w:val="00332566"/>
    <w:rsid w:val="00372799"/>
    <w:rsid w:val="00394C02"/>
    <w:rsid w:val="0039573C"/>
    <w:rsid w:val="00420803"/>
    <w:rsid w:val="00497382"/>
    <w:rsid w:val="004A7148"/>
    <w:rsid w:val="00510DC5"/>
    <w:rsid w:val="0057186E"/>
    <w:rsid w:val="005818A4"/>
    <w:rsid w:val="005C5329"/>
    <w:rsid w:val="00603C83"/>
    <w:rsid w:val="00614FCA"/>
    <w:rsid w:val="00683BE8"/>
    <w:rsid w:val="006F5DB2"/>
    <w:rsid w:val="00702D2D"/>
    <w:rsid w:val="007053B7"/>
    <w:rsid w:val="00705BB4"/>
    <w:rsid w:val="00751C36"/>
    <w:rsid w:val="007858A4"/>
    <w:rsid w:val="007D0D0D"/>
    <w:rsid w:val="008A7571"/>
    <w:rsid w:val="008C7597"/>
    <w:rsid w:val="008D1657"/>
    <w:rsid w:val="00901367"/>
    <w:rsid w:val="009225BF"/>
    <w:rsid w:val="009408DD"/>
    <w:rsid w:val="009662FD"/>
    <w:rsid w:val="00A01F1E"/>
    <w:rsid w:val="00A60306"/>
    <w:rsid w:val="00A61ADE"/>
    <w:rsid w:val="00A75B90"/>
    <w:rsid w:val="00A830CB"/>
    <w:rsid w:val="00A97C58"/>
    <w:rsid w:val="00AB7966"/>
    <w:rsid w:val="00AD2F69"/>
    <w:rsid w:val="00AF31B0"/>
    <w:rsid w:val="00B71020"/>
    <w:rsid w:val="00B90EF3"/>
    <w:rsid w:val="00BA2371"/>
    <w:rsid w:val="00BC11C3"/>
    <w:rsid w:val="00BC218B"/>
    <w:rsid w:val="00BD29E0"/>
    <w:rsid w:val="00C004D8"/>
    <w:rsid w:val="00C172D4"/>
    <w:rsid w:val="00C312BB"/>
    <w:rsid w:val="00C54412"/>
    <w:rsid w:val="00CB20A2"/>
    <w:rsid w:val="00D446EE"/>
    <w:rsid w:val="00D46DDE"/>
    <w:rsid w:val="00D618B8"/>
    <w:rsid w:val="00DD0C34"/>
    <w:rsid w:val="00DE4D74"/>
    <w:rsid w:val="00E256DF"/>
    <w:rsid w:val="00E330C6"/>
    <w:rsid w:val="00E53CB4"/>
    <w:rsid w:val="00E67B85"/>
    <w:rsid w:val="00EA41EB"/>
    <w:rsid w:val="00EB792F"/>
    <w:rsid w:val="00EC0D40"/>
    <w:rsid w:val="00EF41E1"/>
    <w:rsid w:val="00F1785D"/>
    <w:rsid w:val="00F25F2A"/>
    <w:rsid w:val="00F53108"/>
    <w:rsid w:val="00F6444C"/>
    <w:rsid w:val="00F84A9F"/>
    <w:rsid w:val="00FF1F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7045B"/>
  <w15:docId w15:val="{25A508A5-3845-45EB-9354-A15806E3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0A2"/>
    <w:pPr>
      <w:overflowPunct w:val="0"/>
      <w:autoSpaceDE w:val="0"/>
      <w:autoSpaceDN w:val="0"/>
      <w:adjustRightInd w:val="0"/>
      <w:textAlignment w:val="baseline"/>
    </w:pPr>
    <w:rPr>
      <w:sz w:val="24"/>
    </w:rPr>
  </w:style>
  <w:style w:type="paragraph" w:styleId="Heading1">
    <w:name w:val="heading 1"/>
    <w:basedOn w:val="Normal"/>
    <w:next w:val="Normal"/>
    <w:qFormat/>
    <w:rsid w:val="002723DB"/>
    <w:pPr>
      <w:keepNext/>
      <w:spacing w:before="240" w:after="60"/>
      <w:outlineLvl w:val="0"/>
    </w:pPr>
    <w:rPr>
      <w:b/>
      <w:kern w:val="28"/>
      <w:sz w:val="32"/>
    </w:rPr>
  </w:style>
  <w:style w:type="paragraph" w:styleId="Heading2">
    <w:name w:val="heading 2"/>
    <w:basedOn w:val="Normal"/>
    <w:next w:val="Normal"/>
    <w:qFormat/>
    <w:rsid w:val="002723DB"/>
    <w:pPr>
      <w:keepNext/>
      <w:spacing w:before="240" w:after="60"/>
      <w:outlineLvl w:val="1"/>
    </w:pPr>
    <w:rPr>
      <w:b/>
      <w:sz w:val="28"/>
    </w:rPr>
  </w:style>
  <w:style w:type="paragraph" w:styleId="Heading3">
    <w:name w:val="heading 3"/>
    <w:basedOn w:val="Heading2"/>
    <w:next w:val="Normal"/>
    <w:qFormat/>
    <w:rsid w:val="002723DB"/>
    <w:pP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2723DB"/>
    <w:pPr>
      <w:tabs>
        <w:tab w:val="center" w:pos="4536"/>
        <w:tab w:val="right" w:pos="9072"/>
      </w:tabs>
    </w:pPr>
  </w:style>
  <w:style w:type="paragraph" w:styleId="Header">
    <w:name w:val="header"/>
    <w:basedOn w:val="Normal"/>
    <w:semiHidden/>
    <w:rsid w:val="002723DB"/>
    <w:pPr>
      <w:tabs>
        <w:tab w:val="center" w:pos="4536"/>
        <w:tab w:val="right" w:pos="9072"/>
      </w:tabs>
    </w:pPr>
  </w:style>
  <w:style w:type="paragraph" w:customStyle="1" w:styleId="SidfotBrevKolumn2">
    <w:name w:val="SidfotBrevKolumn2"/>
    <w:basedOn w:val="Normal"/>
    <w:rsid w:val="002723DB"/>
    <w:pPr>
      <w:keepLines/>
      <w:tabs>
        <w:tab w:val="right" w:pos="4990"/>
      </w:tabs>
    </w:pPr>
    <w:rPr>
      <w:rFonts w:ascii="Arial" w:hAnsi="Arial"/>
      <w:sz w:val="14"/>
    </w:rPr>
  </w:style>
  <w:style w:type="paragraph" w:customStyle="1" w:styleId="Bobletekst1">
    <w:name w:val="Bobletekst1"/>
    <w:basedOn w:val="Normal"/>
    <w:rsid w:val="002723DB"/>
    <w:rPr>
      <w:rFonts w:ascii="Tahoma" w:hAnsi="Tahoma"/>
      <w:sz w:val="16"/>
    </w:rPr>
  </w:style>
  <w:style w:type="paragraph" w:styleId="ListParagraph">
    <w:name w:val="List Paragraph"/>
    <w:basedOn w:val="Normal"/>
    <w:uiPriority w:val="34"/>
    <w:qFormat/>
    <w:rsid w:val="00E330C6"/>
    <w:pPr>
      <w:overflowPunct/>
      <w:autoSpaceDE/>
      <w:autoSpaceDN/>
      <w:adjustRightInd/>
      <w:ind w:left="720"/>
      <w:textAlignment w:val="auto"/>
    </w:pPr>
    <w:rPr>
      <w:rFonts w:ascii="Calibri" w:hAnsi="Calibri"/>
      <w:sz w:val="22"/>
      <w:szCs w:val="22"/>
      <w:lang w:eastAsia="en-US"/>
    </w:rPr>
  </w:style>
  <w:style w:type="character" w:styleId="Hyperlink">
    <w:name w:val="Hyperlink"/>
    <w:basedOn w:val="DefaultParagraphFont"/>
    <w:uiPriority w:val="99"/>
    <w:unhideWhenUsed/>
    <w:rsid w:val="00B71020"/>
    <w:rPr>
      <w:color w:val="0000FF" w:themeColor="hyperlink"/>
      <w:u w:val="single"/>
    </w:rPr>
  </w:style>
  <w:style w:type="table" w:styleId="TableGrid">
    <w:name w:val="Table Grid"/>
    <w:basedOn w:val="TableNormal"/>
    <w:uiPriority w:val="59"/>
    <w:rsid w:val="00CB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20A2"/>
    <w:rPr>
      <w:rFonts w:ascii="Tahoma" w:hAnsi="Tahoma" w:cs="Tahoma"/>
      <w:sz w:val="16"/>
      <w:szCs w:val="16"/>
    </w:rPr>
  </w:style>
  <w:style w:type="character" w:customStyle="1" w:styleId="BalloonTextChar">
    <w:name w:val="Balloon Text Char"/>
    <w:basedOn w:val="DefaultParagraphFont"/>
    <w:link w:val="BalloonText"/>
    <w:uiPriority w:val="99"/>
    <w:semiHidden/>
    <w:rsid w:val="00CB20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674414">
      <w:bodyDiv w:val="1"/>
      <w:marLeft w:val="0"/>
      <w:marRight w:val="0"/>
      <w:marTop w:val="0"/>
      <w:marBottom w:val="0"/>
      <w:divBdr>
        <w:top w:val="none" w:sz="0" w:space="0" w:color="auto"/>
        <w:left w:val="none" w:sz="0" w:space="0" w:color="auto"/>
        <w:bottom w:val="none" w:sz="0" w:space="0" w:color="auto"/>
        <w:right w:val="none" w:sz="0" w:space="0" w:color="auto"/>
      </w:divBdr>
    </w:div>
    <w:div w:id="192664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algsst&#248;tte\08B_Tom%20brevma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08B_Tom brevmal.dot</Template>
  <TotalTime>3</TotalTime>
  <Pages>1</Pages>
  <Words>418</Words>
  <Characters>2958</Characters>
  <Application>Microsoft Office Word</Application>
  <DocSecurity>0</DocSecurity>
  <Lines>24</Lines>
  <Paragraphs>6</Paragraphs>
  <ScaleCrop>false</ScaleCrop>
  <HeadingPairs>
    <vt:vector size="6" baseType="variant">
      <vt:variant>
        <vt:lpstr>Title</vt:lpstr>
      </vt:variant>
      <vt:variant>
        <vt:i4>1</vt:i4>
      </vt:variant>
      <vt:variant>
        <vt:lpstr>Tittel</vt:lpstr>
      </vt:variant>
      <vt:variant>
        <vt:i4>1</vt:i4>
      </vt:variant>
      <vt:variant>
        <vt:lpstr>14</vt:lpstr>
      </vt:variant>
      <vt:variant>
        <vt:i4>0</vt:i4>
      </vt:variant>
    </vt:vector>
  </HeadingPairs>
  <TitlesOfParts>
    <vt:vector size="2" baseType="lpstr">
      <vt:lpstr>14</vt:lpstr>
      <vt:lpstr>14</vt:lpstr>
    </vt:vector>
  </TitlesOfParts>
  <Company>Storebrand ASA</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dc:title>
  <dc:creator>Arild Juell-Andersen</dc:creator>
  <cp:lastModifiedBy>Gran, Hege</cp:lastModifiedBy>
  <cp:revision>3</cp:revision>
  <cp:lastPrinted>2011-10-31T14:22:00Z</cp:lastPrinted>
  <dcterms:created xsi:type="dcterms:W3CDTF">2018-11-20T10:36:00Z</dcterms:created>
  <dcterms:modified xsi:type="dcterms:W3CDTF">2018-11-26T11:21:00Z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Type">
    <vt:lpwstr>Korrespondanse Brev</vt:lpwstr>
  </property>
</Properties>
</file>